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AA7F4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D11DB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23551EC" w:rsidR="001F1DF9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Centrum Systemów Informacyjnych Ochrony Zdrowia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5DDABBC" w:rsidR="001F1DF9" w:rsidRPr="001F1DF9" w:rsidRDefault="000A6782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Centrum e-Zdrowia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87B1F1" w:rsidR="004C1D48" w:rsidRPr="00F25348" w:rsidRDefault="004C1D48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D31F3" w:rsidRPr="002B50C0" w14:paraId="59735F91" w14:textId="77777777" w:rsidTr="00795AFA">
        <w:tc>
          <w:tcPr>
            <w:tcW w:w="2972" w:type="dxa"/>
          </w:tcPr>
          <w:p w14:paraId="077C8D26" w14:textId="1E73A814" w:rsidR="005D31F3" w:rsidRPr="002D11DB" w:rsidRDefault="005D31F3" w:rsidP="005D31F3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7E1638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7E1638" w:rsidRPr="007E1638">
              <w:rPr>
                <w:rFonts w:ascii="Arial" w:hAnsi="Arial" w:cs="Arial"/>
                <w:sz w:val="18"/>
                <w:szCs w:val="20"/>
              </w:rPr>
              <w:t xml:space="preserve">74,35 </w:t>
            </w:r>
            <w:r w:rsidRPr="007E163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70B915F" w14:textId="517426D0" w:rsidR="005D31F3" w:rsidRPr="00F41D30" w:rsidRDefault="00F41D30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1D30">
              <w:rPr>
                <w:rFonts w:ascii="Arial" w:hAnsi="Arial" w:cs="Arial"/>
                <w:sz w:val="18"/>
                <w:szCs w:val="20"/>
              </w:rPr>
              <w:t>57,77</w:t>
            </w:r>
            <w:r w:rsidR="005D31F3" w:rsidRPr="00F41D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1D4B02C" w14:textId="19553E0A" w:rsidR="005D31F3" w:rsidRPr="00F41D30" w:rsidRDefault="00F41D30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1D30">
              <w:rPr>
                <w:rFonts w:ascii="Arial" w:hAnsi="Arial" w:cs="Arial"/>
                <w:sz w:val="18"/>
                <w:szCs w:val="20"/>
              </w:rPr>
              <w:t>53,33</w:t>
            </w:r>
            <w:r w:rsidR="005D31F3" w:rsidRPr="00F41D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028D4C8" w:rsidR="005D31F3" w:rsidRPr="00F41D30" w:rsidRDefault="00F41D30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1D30">
              <w:rPr>
                <w:rFonts w:ascii="Arial" w:hAnsi="Arial" w:cs="Arial"/>
                <w:sz w:val="18"/>
                <w:szCs w:val="20"/>
              </w:rPr>
              <w:t>55,73</w:t>
            </w:r>
            <w:r w:rsidR="005D31F3" w:rsidRPr="00F41D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FEF2B85" w:rsidR="005D31F3" w:rsidRPr="002D11DB" w:rsidRDefault="00530804" w:rsidP="005D31F3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530804">
              <w:rPr>
                <w:rFonts w:ascii="Arial" w:hAnsi="Arial" w:cs="Arial"/>
                <w:sz w:val="18"/>
                <w:szCs w:val="20"/>
              </w:rPr>
              <w:t>87,22%</w:t>
            </w:r>
            <w:r w:rsidR="005D31F3" w:rsidRPr="005308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631BED82" w:rsidR="00FC33FC" w:rsidRDefault="000A6782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A6782">
              <w:rPr>
                <w:rFonts w:cs="Arial"/>
                <w:i/>
                <w:iCs/>
                <w:lang w:eastAsia="pl-PL"/>
              </w:rPr>
              <w:t>08-2020</w:t>
            </w:r>
          </w:p>
        </w:tc>
        <w:tc>
          <w:tcPr>
            <w:tcW w:w="2802" w:type="dxa"/>
            <w:hideMark/>
          </w:tcPr>
          <w:p w14:paraId="4D50452A" w14:textId="209170C0" w:rsidR="00FC33FC" w:rsidRDefault="008D5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Uruchomienie środowiska produkcyjnego w zakresie funkcjonalności zamawiania eRecepty</w:t>
            </w:r>
          </w:p>
        </w:tc>
        <w:tc>
          <w:tcPr>
            <w:tcW w:w="1507" w:type="dxa"/>
          </w:tcPr>
          <w:p w14:paraId="5CC18414" w14:textId="22424753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704DF" w14:textId="052E1949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specyfikacji interfejsów dla systemów ze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wnętrznych wraz z dokumentacją integracyjną dla funkcjonalności eRejestracji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6EBA1FEB" w14:textId="7E23AEAE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548CB76C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eRejestracji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35658306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eRejestracji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12606063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165E7C53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41D44522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4499BA54" w:rsidR="00B35DB2" w:rsidRPr="00B85461" w:rsidRDefault="00A12B43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35DB2"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="00B35DB2"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7BA785E7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5E0064CC" w:rsidR="00B35DB2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418"/>
        <w:gridCol w:w="4110"/>
      </w:tblGrid>
      <w:tr w:rsidR="006D6517" w:rsidRPr="002B50C0" w14:paraId="031360A6" w14:textId="77777777" w:rsidTr="00A12B4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A12B43">
        <w:tc>
          <w:tcPr>
            <w:tcW w:w="2937" w:type="dxa"/>
          </w:tcPr>
          <w:p w14:paraId="196F84CB" w14:textId="6EF83833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5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5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110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A12B43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110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A12B43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50B58F84" w14:textId="64C8DBF0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A12B43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34BDF0D5" w14:textId="08AA6B1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A12B43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usługobiorcom (pacjentom) elektronicznej historii wykonanych: rozpoznań,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FEEB3EC" w14:textId="0CDC2B14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A12B43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74C49C91" w14:textId="756D552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A12B43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13BE5CEC" w14:textId="7E69F1BE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A12B43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A12B43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4BDA3D3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14DB77" w14:textId="0FE985E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a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nalizowanie</w:t>
            </w:r>
          </w:p>
          <w:p w14:paraId="43CC311D" w14:textId="775B1FE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Pielęgniarek i Położnych (system NIPiP),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 zawodów i specjaliza-cjach),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 zawodów i specjaliza-cjach),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7A5A5C2F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  <w:r w:rsidR="006B7F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lastRenderedPageBreak/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11F476C5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0D990FC2" w14:textId="3E74090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mObywatel (system Ministerstwa Cyfryzacji),</w:t>
            </w:r>
          </w:p>
          <w:p w14:paraId="797B77DE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3E7340BF" w14:textId="6E76B6F9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eHDSI (systemy innych krajów w ramach współpracy transgranicznej),</w:t>
            </w:r>
          </w:p>
          <w:p w14:paraId="243D407A" w14:textId="3091873E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5BCFAB9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51CD5742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</w:p>
          <w:p w14:paraId="0FD9F120" w14:textId="28F5D5EB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</w:p>
          <w:p w14:paraId="266F6F05" w14:textId="2B62AC5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5909D43D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5220D7DB" w14:textId="064C616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>
              <w:rPr>
                <w:rFonts w:ascii="Arial" w:hAnsi="Arial" w:cs="Arial"/>
                <w:sz w:val="18"/>
                <w:szCs w:val="18"/>
              </w:rPr>
              <w:t>d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52DE41A9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</w:p>
          <w:p w14:paraId="75061D54" w14:textId="112CC54E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1F6E3DB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0849F4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Teleporady</w:t>
            </w:r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0037BDF8" w:rsidR="00945E15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grudzień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1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fazy 2 projektu P1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.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</w:p>
    <w:p w14:paraId="757F93C1" w14:textId="77777777" w:rsidR="00A12B43" w:rsidRPr="0037268F" w:rsidRDefault="00A12B43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7936D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7936D5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3B4108D4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2862746" w14:textId="08936DD4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</w:t>
            </w:r>
            <w:r w:rsidR="00CD7F4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r. ten sam obowiązek dotyczy funkcjonalności e-skierowania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, zaś </w:t>
            </w:r>
            <w:r w:rsidR="00CD7F45">
              <w:rPr>
                <w:rFonts w:ascii="Arial" w:hAnsi="Arial" w:cs="Arial"/>
                <w:sz w:val="18"/>
                <w:szCs w:val="20"/>
              </w:rPr>
              <w:lastRenderedPageBreak/>
              <w:t xml:space="preserve">od lipca 2021 roku również </w:t>
            </w:r>
            <w:r>
              <w:rPr>
                <w:rFonts w:ascii="Arial" w:hAnsi="Arial" w:cs="Arial"/>
                <w:sz w:val="18"/>
                <w:szCs w:val="20"/>
              </w:rPr>
              <w:t>zdarzeń medycznych.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1AE90A9A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(w kontekście elektronicznego skierowania)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</w:t>
            </w:r>
            <w:r w:rsidR="00CD7F45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8B014A" w:rsidRPr="002B50C0" w14:paraId="07D7D882" w14:textId="77777777" w:rsidTr="007936D5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054AD649" w14:textId="1349393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w CSIOZ została wydzielona osobna komórka organizacyjna która w 2018 roku szkoliła i promowała System P1 (z naciskiem na </w:t>
            </w:r>
            <w:r w:rsidRPr="00672FE1">
              <w:rPr>
                <w:rFonts w:ascii="Arial" w:hAnsi="Arial" w:cs="Arial"/>
                <w:sz w:val="18"/>
                <w:szCs w:val="20"/>
              </w:rPr>
              <w:lastRenderedPageBreak/>
              <w:t>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  <w:r w:rsidR="00CD7F45">
              <w:rPr>
                <w:rFonts w:ascii="Arial" w:hAnsi="Arial" w:cs="Arial"/>
                <w:sz w:val="18"/>
                <w:szCs w:val="20"/>
              </w:rPr>
              <w:t>. W bieżącym roku również prowadzone są spotkania szkoleniowo-informacyjne dla pracowników medycznych w obszarze e-skierowań oraz EDM.</w:t>
            </w:r>
          </w:p>
          <w:p w14:paraId="230B696A" w14:textId="5A18BF31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</w:t>
            </w:r>
            <w:r w:rsidR="00CD7F45">
              <w:rPr>
                <w:rFonts w:ascii="Arial" w:hAnsi="Arial" w:cs="Arial"/>
                <w:sz w:val="18"/>
                <w:szCs w:val="20"/>
              </w:rPr>
              <w:t>, a także EDM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8B014A" w:rsidRPr="002B50C0" w14:paraId="78174325" w14:textId="77777777" w:rsidTr="007936D5">
        <w:tc>
          <w:tcPr>
            <w:tcW w:w="3265" w:type="dxa"/>
          </w:tcPr>
          <w:p w14:paraId="7E99B443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4BDB1B1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34E84221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</w:t>
            </w:r>
            <w:r w:rsidR="006B7F8D">
              <w:rPr>
                <w:rFonts w:ascii="Arial" w:hAnsi="Arial" w:cs="Arial"/>
                <w:sz w:val="18"/>
                <w:szCs w:val="20"/>
              </w:rPr>
              <w:t>i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dostawcy deklarują gotowość do obsługi e-skierowania.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4D3DCD9F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bookmarkStart w:id="6" w:name="_GoBack"/>
            <w:bookmarkEnd w:id="6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(związana z wykorzystaniem produktów Projektu z fazy 1) istnieje ryzyko zaprzestania rozwoju czy też wsparcia technologii open source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Budowanie własnych kompetencji w ramach stosowanych technologii open source</w:t>
            </w:r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57E1702" w14:textId="29D5536D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 xml:space="preserve">, </w:t>
      </w:r>
      <w:r w:rsidRPr="007867AB">
        <w:rPr>
          <w:rFonts w:ascii="Arial" w:hAnsi="Arial" w:cs="Arial"/>
          <w:sz w:val="18"/>
          <w:szCs w:val="18"/>
        </w:rPr>
        <w:br/>
        <w:t>Centrum</w:t>
      </w:r>
      <w:r w:rsidR="000A6782">
        <w:rPr>
          <w:rFonts w:ascii="Arial" w:hAnsi="Arial" w:cs="Arial"/>
          <w:sz w:val="18"/>
          <w:szCs w:val="18"/>
        </w:rPr>
        <w:t xml:space="preserve"> e-Zdrowia </w:t>
      </w:r>
    </w:p>
    <w:p w14:paraId="51456B16" w14:textId="77EE37B7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>tel. kom. +48 602 128 069</w:t>
      </w:r>
    </w:p>
    <w:p w14:paraId="6F2A1025" w14:textId="08DC4D63" w:rsidR="007867AB" w:rsidRPr="007867AB" w:rsidRDefault="007867AB" w:rsidP="007867AB">
      <w:pPr>
        <w:spacing w:after="0"/>
        <w:rPr>
          <w:rFonts w:ascii="Arial" w:hAnsi="Arial" w:cs="Arial"/>
          <w:color w:val="0070C0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="00CD7F45" w:rsidRPr="00CD7F45">
          <w:rPr>
            <w:rStyle w:val="Hipercze"/>
            <w:rFonts w:ascii="Arial" w:hAnsi="Arial" w:cs="Arial"/>
            <w:sz w:val="18"/>
            <w:szCs w:val="18"/>
            <w:lang w:val="en-GB"/>
          </w:rPr>
          <w:t>r.orlik@cez.gov.pl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2D11D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</w:p>
    <w:p w14:paraId="3E707801" w14:textId="77777777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5ACC80B6" w14:textId="79C12CDA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2D11DB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4A428" w14:textId="77777777" w:rsidR="007B2A7D" w:rsidRDefault="007B2A7D" w:rsidP="00BB2420">
      <w:pPr>
        <w:spacing w:after="0" w:line="240" w:lineRule="auto"/>
      </w:pPr>
      <w:r>
        <w:separator/>
      </w:r>
    </w:p>
  </w:endnote>
  <w:endnote w:type="continuationSeparator" w:id="0">
    <w:p w14:paraId="6CA224E1" w14:textId="77777777" w:rsidR="007B2A7D" w:rsidRDefault="007B2A7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5500C34" w:rsidR="004058F5" w:rsidRDefault="004058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4058F5" w:rsidRDefault="00405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A28E3" w14:textId="77777777" w:rsidR="007B2A7D" w:rsidRDefault="007B2A7D" w:rsidP="00BB2420">
      <w:pPr>
        <w:spacing w:after="0" w:line="240" w:lineRule="auto"/>
      </w:pPr>
      <w:r>
        <w:separator/>
      </w:r>
    </w:p>
  </w:footnote>
  <w:footnote w:type="continuationSeparator" w:id="0">
    <w:p w14:paraId="6BFFBE9F" w14:textId="77777777" w:rsidR="007B2A7D" w:rsidRDefault="007B2A7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058F5" w:rsidRDefault="004058F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A6782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6F"/>
    <w:rsid w:val="001C7FAC"/>
    <w:rsid w:val="001D167C"/>
    <w:rsid w:val="001E0CAC"/>
    <w:rsid w:val="001E16A3"/>
    <w:rsid w:val="001E1DEA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C415A"/>
    <w:rsid w:val="004D65CA"/>
    <w:rsid w:val="004F6CF2"/>
    <w:rsid w:val="004F6E89"/>
    <w:rsid w:val="00504B06"/>
    <w:rsid w:val="005076A1"/>
    <w:rsid w:val="00513213"/>
    <w:rsid w:val="00517F12"/>
    <w:rsid w:val="0052102C"/>
    <w:rsid w:val="005212C8"/>
    <w:rsid w:val="00524E6C"/>
    <w:rsid w:val="00530804"/>
    <w:rsid w:val="005332D6"/>
    <w:rsid w:val="00534818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600AE4"/>
    <w:rsid w:val="006010AF"/>
    <w:rsid w:val="006054AA"/>
    <w:rsid w:val="0062054D"/>
    <w:rsid w:val="00621C9D"/>
    <w:rsid w:val="006334BF"/>
    <w:rsid w:val="00635A54"/>
    <w:rsid w:val="00661A62"/>
    <w:rsid w:val="006731D9"/>
    <w:rsid w:val="006822BC"/>
    <w:rsid w:val="006948D3"/>
    <w:rsid w:val="006A60AA"/>
    <w:rsid w:val="006A60EC"/>
    <w:rsid w:val="006B034F"/>
    <w:rsid w:val="006B5117"/>
    <w:rsid w:val="006B7F8D"/>
    <w:rsid w:val="006C78AE"/>
    <w:rsid w:val="006D6517"/>
    <w:rsid w:val="006E0CFA"/>
    <w:rsid w:val="006E6205"/>
    <w:rsid w:val="006F6375"/>
    <w:rsid w:val="00701800"/>
    <w:rsid w:val="00725708"/>
    <w:rsid w:val="00740A4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4742"/>
    <w:rsid w:val="007B0251"/>
    <w:rsid w:val="007B2A7D"/>
    <w:rsid w:val="007C2F7E"/>
    <w:rsid w:val="007C6235"/>
    <w:rsid w:val="007C70D1"/>
    <w:rsid w:val="007D1990"/>
    <w:rsid w:val="007D2C34"/>
    <w:rsid w:val="007D38BD"/>
    <w:rsid w:val="007D3F21"/>
    <w:rsid w:val="007E1638"/>
    <w:rsid w:val="007E341A"/>
    <w:rsid w:val="007F126F"/>
    <w:rsid w:val="007F3B4E"/>
    <w:rsid w:val="00803FBE"/>
    <w:rsid w:val="00805178"/>
    <w:rsid w:val="00806134"/>
    <w:rsid w:val="00830B70"/>
    <w:rsid w:val="00840749"/>
    <w:rsid w:val="00860C9B"/>
    <w:rsid w:val="0087452F"/>
    <w:rsid w:val="00875528"/>
    <w:rsid w:val="00884686"/>
    <w:rsid w:val="008A332F"/>
    <w:rsid w:val="008A52F6"/>
    <w:rsid w:val="008B014A"/>
    <w:rsid w:val="008C4BCD"/>
    <w:rsid w:val="008C6721"/>
    <w:rsid w:val="008D3826"/>
    <w:rsid w:val="008D5EB8"/>
    <w:rsid w:val="008E31F8"/>
    <w:rsid w:val="008F2D9B"/>
    <w:rsid w:val="008F67EE"/>
    <w:rsid w:val="00907F6D"/>
    <w:rsid w:val="0091056F"/>
    <w:rsid w:val="00911190"/>
    <w:rsid w:val="0091332C"/>
    <w:rsid w:val="00914208"/>
    <w:rsid w:val="009256F2"/>
    <w:rsid w:val="00933BEC"/>
    <w:rsid w:val="009347B8"/>
    <w:rsid w:val="00936729"/>
    <w:rsid w:val="00945E15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2B43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24F0B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D7F45"/>
    <w:rsid w:val="00CE713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055"/>
    <w:rsid w:val="00E203EB"/>
    <w:rsid w:val="00E35401"/>
    <w:rsid w:val="00E375DB"/>
    <w:rsid w:val="00E42938"/>
    <w:rsid w:val="00E47508"/>
    <w:rsid w:val="00E50713"/>
    <w:rsid w:val="00E512D9"/>
    <w:rsid w:val="00E55EB0"/>
    <w:rsid w:val="00E57BB7"/>
    <w:rsid w:val="00E61CB0"/>
    <w:rsid w:val="00E71256"/>
    <w:rsid w:val="00E71BCF"/>
    <w:rsid w:val="00E72721"/>
    <w:rsid w:val="00E81D7C"/>
    <w:rsid w:val="00E83FA4"/>
    <w:rsid w:val="00E857E0"/>
    <w:rsid w:val="00E86020"/>
    <w:rsid w:val="00EA0B4F"/>
    <w:rsid w:val="00EB00AB"/>
    <w:rsid w:val="00EC2AFC"/>
    <w:rsid w:val="00F138F7"/>
    <w:rsid w:val="00F2008A"/>
    <w:rsid w:val="00F21D9E"/>
    <w:rsid w:val="00F25348"/>
    <w:rsid w:val="00F41D30"/>
    <w:rsid w:val="00F45506"/>
    <w:rsid w:val="00F5455E"/>
    <w:rsid w:val="00F60062"/>
    <w:rsid w:val="00F613CC"/>
    <w:rsid w:val="00F76777"/>
    <w:rsid w:val="00F821F8"/>
    <w:rsid w:val="00F83F2F"/>
    <w:rsid w:val="00F86555"/>
    <w:rsid w:val="00F86C58"/>
    <w:rsid w:val="00FC30C7"/>
    <w:rsid w:val="00FC33FC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CENTRUM\d.koc</Osoba>
    <NazwaPliku xmlns="F60F55B9-AC12-46BD-85CA-E0578CFCB3C7">Raport KRMC projekt P1 za III kwartał 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37A8C5A0-B7A6-475A-83B5-F2A61E1CB0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2020-10-08T06:01:00Z</dcterms:created>
  <dcterms:modified xsi:type="dcterms:W3CDTF">2020-10-13T17:50:00Z</dcterms:modified>
</cp:coreProperties>
</file>